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1D4B" w14:textId="7912533A" w:rsidR="00D85D49" w:rsidRDefault="00D85D49" w:rsidP="00D85D49">
      <w:pPr>
        <w:jc w:val="center"/>
        <w:rPr>
          <w:rFonts w:ascii="Times New Roman" w:hAnsi="Times New Roman" w:cs="Times New Roman"/>
          <w:b/>
          <w:bCs/>
        </w:rPr>
      </w:pPr>
      <w:r w:rsidRPr="00D85D49">
        <w:rPr>
          <w:rFonts w:ascii="Times New Roman" w:hAnsi="Times New Roman" w:cs="Times New Roman"/>
          <w:b/>
          <w:bCs/>
        </w:rPr>
        <w:t>DERS DEĞERLENDİRME RAPORU</w:t>
      </w:r>
    </w:p>
    <w:p w14:paraId="0732D06F" w14:textId="77777777" w:rsidR="000A6B96" w:rsidRPr="00D85D49" w:rsidRDefault="000A6B96" w:rsidP="00D85D49">
      <w:pPr>
        <w:jc w:val="center"/>
        <w:rPr>
          <w:rFonts w:ascii="Times New Roman" w:hAnsi="Times New Roman" w:cs="Times New Roman"/>
        </w:rPr>
      </w:pPr>
    </w:p>
    <w:p w14:paraId="216B9140" w14:textId="7C5A9606" w:rsidR="00D85D49" w:rsidRPr="00D85D49" w:rsidRDefault="00D85D49" w:rsidP="00D85D49">
      <w:pPr>
        <w:rPr>
          <w:rFonts w:ascii="Times New Roman" w:hAnsi="Times New Roman" w:cs="Times New Roman"/>
        </w:rPr>
      </w:pPr>
      <w:r w:rsidRPr="00D85D49">
        <w:rPr>
          <w:rFonts w:ascii="Times New Roman" w:hAnsi="Times New Roman" w:cs="Times New Roman"/>
          <w:b/>
          <w:bCs/>
        </w:rPr>
        <w:t>Bölüm:</w:t>
      </w:r>
      <w:r w:rsidRPr="00D85D49">
        <w:rPr>
          <w:rFonts w:ascii="Times New Roman" w:hAnsi="Times New Roman" w:cs="Times New Roman"/>
        </w:rPr>
        <w:t xml:space="preserve"> Sosyal Hizmet Bölümü</w:t>
      </w:r>
      <w:r w:rsidRPr="00D85D49">
        <w:rPr>
          <w:rFonts w:ascii="Times New Roman" w:hAnsi="Times New Roman" w:cs="Times New Roman"/>
        </w:rPr>
        <w:br/>
      </w:r>
      <w:r w:rsidRPr="00D85D49">
        <w:rPr>
          <w:rFonts w:ascii="Times New Roman" w:hAnsi="Times New Roman" w:cs="Times New Roman"/>
          <w:b/>
          <w:bCs/>
        </w:rPr>
        <w:t>Ders Adı:</w:t>
      </w:r>
      <w:r w:rsidR="003C4F78">
        <w:rPr>
          <w:rFonts w:ascii="Times New Roman" w:hAnsi="Times New Roman" w:cs="Times New Roman"/>
          <w:b/>
          <w:bCs/>
        </w:rPr>
        <w:t xml:space="preserve"> </w:t>
      </w:r>
      <w:r w:rsidR="003C4F78" w:rsidRPr="003C4F78">
        <w:rPr>
          <w:rFonts w:ascii="Times New Roman" w:hAnsi="Times New Roman" w:cs="Times New Roman"/>
        </w:rPr>
        <w:t>Birey Odaklı Sosyal Çalışma</w:t>
      </w:r>
      <w:r w:rsidRPr="00D85D49">
        <w:rPr>
          <w:rFonts w:ascii="Times New Roman" w:hAnsi="Times New Roman" w:cs="Times New Roman"/>
        </w:rPr>
        <w:br/>
      </w:r>
      <w:r w:rsidRPr="00D85D49">
        <w:rPr>
          <w:rFonts w:ascii="Times New Roman" w:hAnsi="Times New Roman" w:cs="Times New Roman"/>
          <w:b/>
          <w:bCs/>
        </w:rPr>
        <w:t>Dönem / Yıl:</w:t>
      </w:r>
      <w:r w:rsidR="003C4F78">
        <w:rPr>
          <w:rFonts w:ascii="Times New Roman" w:hAnsi="Times New Roman" w:cs="Times New Roman"/>
        </w:rPr>
        <w:t xml:space="preserve"> Güz / 2025-2026</w:t>
      </w:r>
      <w:r w:rsidRPr="00D85D49">
        <w:rPr>
          <w:rFonts w:ascii="Times New Roman" w:hAnsi="Times New Roman" w:cs="Times New Roman"/>
        </w:rPr>
        <w:br/>
      </w:r>
      <w:r w:rsidRPr="00D85D49">
        <w:rPr>
          <w:rFonts w:ascii="Times New Roman" w:hAnsi="Times New Roman" w:cs="Times New Roman"/>
          <w:b/>
          <w:bCs/>
        </w:rPr>
        <w:t>Dersi Veren Öğretim Elemanı:</w:t>
      </w:r>
      <w:r w:rsidR="003C4F78">
        <w:rPr>
          <w:rFonts w:ascii="Times New Roman" w:hAnsi="Times New Roman" w:cs="Times New Roman"/>
          <w:b/>
          <w:bCs/>
        </w:rPr>
        <w:t xml:space="preserve"> </w:t>
      </w:r>
      <w:r w:rsidR="003C4F78" w:rsidRPr="003C4F78">
        <w:rPr>
          <w:rFonts w:ascii="Times New Roman" w:hAnsi="Times New Roman" w:cs="Times New Roman"/>
        </w:rPr>
        <w:t>Dr. Öğr. Üyesi Burak KÜSMEZ</w:t>
      </w:r>
    </w:p>
    <w:p w14:paraId="1C7995CC" w14:textId="77777777" w:rsidR="00D85D49" w:rsidRPr="00D85D49" w:rsidRDefault="00D85D49" w:rsidP="00D85D49">
      <w:pPr>
        <w:rPr>
          <w:rFonts w:ascii="Times New Roman" w:hAnsi="Times New Roman" w:cs="Times New Roman"/>
          <w:b/>
          <w:bCs/>
        </w:rPr>
      </w:pPr>
      <w:r w:rsidRPr="00D85D49">
        <w:rPr>
          <w:rFonts w:ascii="Times New Roman" w:hAnsi="Times New Roman" w:cs="Times New Roman"/>
          <w:b/>
          <w:bCs/>
        </w:rPr>
        <w:t>1. Dersin Genel Bilgileri</w:t>
      </w:r>
    </w:p>
    <w:p w14:paraId="7F7483E1" w14:textId="4234489E" w:rsidR="00D85D49" w:rsidRPr="00D85D49" w:rsidRDefault="00D85D49" w:rsidP="00D85D49">
      <w:pPr>
        <w:numPr>
          <w:ilvl w:val="0"/>
          <w:numId w:val="1"/>
        </w:numPr>
        <w:rPr>
          <w:rFonts w:ascii="Times New Roman" w:hAnsi="Times New Roman" w:cs="Times New Roman"/>
        </w:rPr>
      </w:pPr>
      <w:r w:rsidRPr="00D85D49">
        <w:rPr>
          <w:rFonts w:ascii="Times New Roman" w:hAnsi="Times New Roman" w:cs="Times New Roman"/>
        </w:rPr>
        <w:t>Kayıtlı Öğrenci Sayısı:</w:t>
      </w:r>
      <w:r w:rsidR="003C4F78">
        <w:rPr>
          <w:rFonts w:ascii="Times New Roman" w:hAnsi="Times New Roman" w:cs="Times New Roman"/>
        </w:rPr>
        <w:t xml:space="preserve"> 60</w:t>
      </w:r>
    </w:p>
    <w:p w14:paraId="33F44799" w14:textId="70699EF5" w:rsidR="00D85D49" w:rsidRPr="00D85D49" w:rsidRDefault="00D85D49" w:rsidP="00D85D49">
      <w:pPr>
        <w:numPr>
          <w:ilvl w:val="0"/>
          <w:numId w:val="1"/>
        </w:numPr>
        <w:rPr>
          <w:rFonts w:ascii="Times New Roman" w:hAnsi="Times New Roman" w:cs="Times New Roman"/>
        </w:rPr>
      </w:pPr>
      <w:r w:rsidRPr="00D85D49">
        <w:rPr>
          <w:rFonts w:ascii="Times New Roman" w:hAnsi="Times New Roman" w:cs="Times New Roman"/>
        </w:rPr>
        <w:t>Dersi Tamamlayan Öğrenci Sayısı:</w:t>
      </w:r>
      <w:r w:rsidR="003367A3">
        <w:rPr>
          <w:rFonts w:ascii="Times New Roman" w:hAnsi="Times New Roman" w:cs="Times New Roman"/>
        </w:rPr>
        <w:t>50</w:t>
      </w:r>
    </w:p>
    <w:p w14:paraId="3D6B91F9" w14:textId="67D62E3B" w:rsidR="00D85D49" w:rsidRPr="00D85D49" w:rsidRDefault="00D85D49" w:rsidP="00D85D49">
      <w:pPr>
        <w:numPr>
          <w:ilvl w:val="0"/>
          <w:numId w:val="1"/>
        </w:numPr>
        <w:rPr>
          <w:rFonts w:ascii="Times New Roman" w:hAnsi="Times New Roman" w:cs="Times New Roman"/>
        </w:rPr>
      </w:pPr>
      <w:r w:rsidRPr="00D85D49">
        <w:rPr>
          <w:rFonts w:ascii="Times New Roman" w:hAnsi="Times New Roman" w:cs="Times New Roman"/>
        </w:rPr>
        <w:t>Başarı Oranı (%):</w:t>
      </w:r>
      <w:r w:rsidR="003367A3">
        <w:rPr>
          <w:rFonts w:ascii="Times New Roman" w:hAnsi="Times New Roman" w:cs="Times New Roman"/>
        </w:rPr>
        <w:t xml:space="preserve"> %83,33</w:t>
      </w:r>
    </w:p>
    <w:p w14:paraId="3F51C454" w14:textId="77777777" w:rsidR="00D85D49" w:rsidRPr="00D85D49" w:rsidRDefault="00D85D49" w:rsidP="00D85D49">
      <w:pPr>
        <w:rPr>
          <w:rFonts w:ascii="Times New Roman" w:hAnsi="Times New Roman" w:cs="Times New Roman"/>
          <w:b/>
          <w:bCs/>
        </w:rPr>
      </w:pPr>
      <w:r w:rsidRPr="00D85D49">
        <w:rPr>
          <w:rFonts w:ascii="Times New Roman" w:hAnsi="Times New Roman" w:cs="Times New Roman"/>
          <w:b/>
          <w:bCs/>
        </w:rPr>
        <w:t>2. Öğrenci Ders Değerlendirme Anketi Sonuçları</w:t>
      </w:r>
    </w:p>
    <w:p w14:paraId="3EE5967E" w14:textId="77777777" w:rsidR="00D85D49" w:rsidRPr="00D85D49" w:rsidRDefault="00D85D49" w:rsidP="00D85D49">
      <w:pPr>
        <w:rPr>
          <w:rFonts w:ascii="Times New Roman" w:hAnsi="Times New Roman" w:cs="Times New Roman"/>
        </w:rPr>
      </w:pPr>
      <w:r w:rsidRPr="00D85D49">
        <w:rPr>
          <w:rFonts w:ascii="Times New Roman" w:hAnsi="Times New Roman" w:cs="Times New Roman"/>
        </w:rPr>
        <w:t>(Özet sonuçlar)</w:t>
      </w:r>
    </w:p>
    <w:p w14:paraId="08CB40A9" w14:textId="31283108" w:rsidR="00D85D49" w:rsidRPr="00D85D49" w:rsidRDefault="00D85D49" w:rsidP="00D85D49">
      <w:pPr>
        <w:numPr>
          <w:ilvl w:val="0"/>
          <w:numId w:val="2"/>
        </w:numPr>
        <w:rPr>
          <w:rFonts w:ascii="Times New Roman" w:hAnsi="Times New Roman" w:cs="Times New Roman"/>
        </w:rPr>
      </w:pPr>
      <w:r w:rsidRPr="00D85D49">
        <w:rPr>
          <w:rFonts w:ascii="Times New Roman" w:hAnsi="Times New Roman" w:cs="Times New Roman"/>
        </w:rPr>
        <w:t>Dersin işlenişinden memnuniyet düzeyi:</w:t>
      </w:r>
      <w:r w:rsidR="00CA4709">
        <w:rPr>
          <w:rFonts w:ascii="Times New Roman" w:hAnsi="Times New Roman" w:cs="Times New Roman"/>
        </w:rPr>
        <w:t xml:space="preserve"> %80,73</w:t>
      </w:r>
    </w:p>
    <w:p w14:paraId="787C418C" w14:textId="6DEDC477" w:rsidR="00D85D49" w:rsidRPr="00D85D49" w:rsidRDefault="00D85D49" w:rsidP="00D85D49">
      <w:pPr>
        <w:numPr>
          <w:ilvl w:val="0"/>
          <w:numId w:val="2"/>
        </w:numPr>
        <w:rPr>
          <w:rFonts w:ascii="Times New Roman" w:hAnsi="Times New Roman" w:cs="Times New Roman"/>
        </w:rPr>
      </w:pPr>
      <w:r w:rsidRPr="00D85D49">
        <w:rPr>
          <w:rFonts w:ascii="Times New Roman" w:hAnsi="Times New Roman" w:cs="Times New Roman"/>
        </w:rPr>
        <w:t>Ders materyallerinin yeterliliği:</w:t>
      </w:r>
      <w:r w:rsidR="00CA4709">
        <w:rPr>
          <w:rFonts w:ascii="Times New Roman" w:hAnsi="Times New Roman" w:cs="Times New Roman"/>
        </w:rPr>
        <w:t xml:space="preserve"> %78,4</w:t>
      </w:r>
    </w:p>
    <w:p w14:paraId="51EB93DD" w14:textId="2F4CDCF0" w:rsidR="00D85D49" w:rsidRPr="00D85D49" w:rsidRDefault="00D85D49" w:rsidP="00D85D49">
      <w:pPr>
        <w:numPr>
          <w:ilvl w:val="0"/>
          <w:numId w:val="2"/>
        </w:numPr>
        <w:rPr>
          <w:rFonts w:ascii="Times New Roman" w:hAnsi="Times New Roman" w:cs="Times New Roman"/>
        </w:rPr>
      </w:pPr>
      <w:r w:rsidRPr="00D85D49">
        <w:rPr>
          <w:rFonts w:ascii="Times New Roman" w:hAnsi="Times New Roman" w:cs="Times New Roman"/>
        </w:rPr>
        <w:t>Dersin öğrenme çıktılarının kazanılma düzeyi:</w:t>
      </w:r>
      <w:r w:rsidR="00CA4709">
        <w:rPr>
          <w:rFonts w:ascii="Times New Roman" w:hAnsi="Times New Roman" w:cs="Times New Roman"/>
        </w:rPr>
        <w:t xml:space="preserve"> %62</w:t>
      </w:r>
    </w:p>
    <w:p w14:paraId="020DDDE5" w14:textId="77777777" w:rsidR="00CA4709" w:rsidRDefault="00D85D49" w:rsidP="00CA4709">
      <w:pPr>
        <w:rPr>
          <w:rFonts w:ascii="Times New Roman" w:hAnsi="Times New Roman" w:cs="Times New Roman"/>
        </w:rPr>
      </w:pPr>
      <w:r w:rsidRPr="00D85D49">
        <w:rPr>
          <w:rFonts w:ascii="Times New Roman" w:hAnsi="Times New Roman" w:cs="Times New Roman"/>
        </w:rPr>
        <w:t>Genel değerlendirme:</w:t>
      </w:r>
    </w:p>
    <w:p w14:paraId="559476CD" w14:textId="1A03A526" w:rsidR="00D85D49" w:rsidRPr="00D85D49" w:rsidRDefault="00D85D49" w:rsidP="00CA4709">
      <w:pPr>
        <w:jc w:val="both"/>
        <w:rPr>
          <w:rFonts w:ascii="Times New Roman" w:hAnsi="Times New Roman" w:cs="Times New Roman"/>
        </w:rPr>
      </w:pPr>
      <w:r w:rsidRPr="00D85D49">
        <w:rPr>
          <w:rFonts w:ascii="Times New Roman" w:hAnsi="Times New Roman" w:cs="Times New Roman"/>
        </w:rPr>
        <w:br/>
      </w:r>
      <w:r w:rsidR="00580730" w:rsidRPr="00580730">
        <w:rPr>
          <w:rFonts w:ascii="Times New Roman" w:hAnsi="Times New Roman" w:cs="Times New Roman"/>
        </w:rPr>
        <w:t>Öğrenci geri bildirimleri genel olarak dersin işleniş yönteminden ve uygulama temelli etkinliklerden memnuniyet olduğunu göstermektedir. Ancak öğrenme çıktılarının kazanım düzeyine ilişkin algının bölüm başarı eşiğinin altında kaldığı görülmektedir.</w:t>
      </w:r>
    </w:p>
    <w:p w14:paraId="49589273" w14:textId="77777777" w:rsidR="00D85D49" w:rsidRPr="00D85D49" w:rsidRDefault="00D85D49" w:rsidP="00D85D49">
      <w:pPr>
        <w:rPr>
          <w:rFonts w:ascii="Times New Roman" w:hAnsi="Times New Roman" w:cs="Times New Roman"/>
          <w:b/>
          <w:bCs/>
        </w:rPr>
      </w:pPr>
      <w:r w:rsidRPr="00D85D49">
        <w:rPr>
          <w:rFonts w:ascii="Times New Roman" w:hAnsi="Times New Roman" w:cs="Times New Roman"/>
          <w:b/>
          <w:bCs/>
        </w:rPr>
        <w:t>3. Öğrenme Çıktılarının Değerlendirilmesi</w:t>
      </w:r>
    </w:p>
    <w:p w14:paraId="0183BEF3" w14:textId="77777777" w:rsidR="00580730" w:rsidRPr="00580730" w:rsidRDefault="00580730" w:rsidP="00580730">
      <w:pPr>
        <w:rPr>
          <w:rFonts w:ascii="Times New Roman" w:hAnsi="Times New Roman" w:cs="Times New Roman"/>
        </w:rPr>
      </w:pPr>
      <w:r w:rsidRPr="00580730">
        <w:rPr>
          <w:rFonts w:ascii="Times New Roman" w:hAnsi="Times New Roman" w:cs="Times New Roman"/>
        </w:rPr>
        <w:t>Bu ders aşağıdaki program çıktılarının kazanımına doğrudan katkı sağlamaktadır:</w:t>
      </w:r>
    </w:p>
    <w:p w14:paraId="364113DF" w14:textId="77777777" w:rsidR="00580730" w:rsidRPr="00580730" w:rsidRDefault="00580730" w:rsidP="00580730">
      <w:pPr>
        <w:numPr>
          <w:ilvl w:val="0"/>
          <w:numId w:val="5"/>
        </w:numPr>
        <w:rPr>
          <w:rFonts w:ascii="Times New Roman" w:hAnsi="Times New Roman" w:cs="Times New Roman"/>
        </w:rPr>
      </w:pPr>
      <w:r w:rsidRPr="00580730">
        <w:rPr>
          <w:rFonts w:ascii="Times New Roman" w:hAnsi="Times New Roman" w:cs="Times New Roman"/>
          <w:b/>
          <w:bCs/>
        </w:rPr>
        <w:t>PÇ2:</w:t>
      </w:r>
      <w:r w:rsidRPr="00580730">
        <w:rPr>
          <w:rFonts w:ascii="Times New Roman" w:hAnsi="Times New Roman" w:cs="Times New Roman"/>
        </w:rPr>
        <w:t xml:space="preserve"> Gereksinimleri çok boyutlu değerlendirme</w:t>
      </w:r>
    </w:p>
    <w:p w14:paraId="79A41033" w14:textId="5D8BCCE9" w:rsidR="00580730" w:rsidRPr="00580730" w:rsidRDefault="00580730" w:rsidP="00580730">
      <w:pPr>
        <w:numPr>
          <w:ilvl w:val="0"/>
          <w:numId w:val="5"/>
        </w:numPr>
        <w:rPr>
          <w:rFonts w:ascii="Times New Roman" w:hAnsi="Times New Roman" w:cs="Times New Roman"/>
        </w:rPr>
      </w:pPr>
      <w:r w:rsidRPr="00580730">
        <w:rPr>
          <w:rFonts w:ascii="Times New Roman" w:hAnsi="Times New Roman" w:cs="Times New Roman"/>
          <w:b/>
          <w:bCs/>
        </w:rPr>
        <w:t>PÇ</w:t>
      </w:r>
      <w:r>
        <w:rPr>
          <w:rFonts w:ascii="Times New Roman" w:hAnsi="Times New Roman" w:cs="Times New Roman"/>
          <w:b/>
          <w:bCs/>
        </w:rPr>
        <w:t>4</w:t>
      </w:r>
      <w:r w:rsidRPr="00580730">
        <w:rPr>
          <w:rFonts w:ascii="Times New Roman" w:hAnsi="Times New Roman" w:cs="Times New Roman"/>
          <w:b/>
          <w:bCs/>
        </w:rPr>
        <w:t>:</w:t>
      </w:r>
      <w:r w:rsidRPr="00580730">
        <w:rPr>
          <w:rFonts w:ascii="Times New Roman" w:hAnsi="Times New Roman" w:cs="Times New Roman"/>
        </w:rPr>
        <w:t xml:space="preserve"> Müdahale planı geliştirme, uygulama ve değerlendirme</w:t>
      </w:r>
    </w:p>
    <w:p w14:paraId="260E770E" w14:textId="21C5BDAB" w:rsidR="00580730" w:rsidRPr="00580730" w:rsidRDefault="00580730" w:rsidP="00580730">
      <w:pPr>
        <w:numPr>
          <w:ilvl w:val="0"/>
          <w:numId w:val="5"/>
        </w:numPr>
        <w:rPr>
          <w:rFonts w:ascii="Times New Roman" w:hAnsi="Times New Roman" w:cs="Times New Roman"/>
        </w:rPr>
      </w:pPr>
      <w:r w:rsidRPr="00580730">
        <w:rPr>
          <w:rFonts w:ascii="Times New Roman" w:hAnsi="Times New Roman" w:cs="Times New Roman"/>
          <w:b/>
          <w:bCs/>
        </w:rPr>
        <w:t>PÇ</w:t>
      </w:r>
      <w:r>
        <w:rPr>
          <w:rFonts w:ascii="Times New Roman" w:hAnsi="Times New Roman" w:cs="Times New Roman"/>
          <w:b/>
          <w:bCs/>
        </w:rPr>
        <w:t>5</w:t>
      </w:r>
      <w:r w:rsidRPr="00580730">
        <w:rPr>
          <w:rFonts w:ascii="Times New Roman" w:hAnsi="Times New Roman" w:cs="Times New Roman"/>
          <w:b/>
          <w:bCs/>
        </w:rPr>
        <w:t>:</w:t>
      </w:r>
      <w:r w:rsidRPr="00580730">
        <w:rPr>
          <w:rFonts w:ascii="Times New Roman" w:hAnsi="Times New Roman" w:cs="Times New Roman"/>
        </w:rPr>
        <w:t xml:space="preserve"> </w:t>
      </w:r>
      <w:r>
        <w:rPr>
          <w:rFonts w:ascii="Times New Roman" w:hAnsi="Times New Roman" w:cs="Times New Roman"/>
        </w:rPr>
        <w:t>Sosyal hizmet alanında veri toplama ve raporlama</w:t>
      </w:r>
    </w:p>
    <w:p w14:paraId="13FA17C0" w14:textId="2B76AA8E" w:rsidR="00580730" w:rsidRPr="00580730" w:rsidRDefault="00580730" w:rsidP="00580730">
      <w:pPr>
        <w:numPr>
          <w:ilvl w:val="0"/>
          <w:numId w:val="5"/>
        </w:numPr>
        <w:rPr>
          <w:rFonts w:ascii="Times New Roman" w:hAnsi="Times New Roman" w:cs="Times New Roman"/>
        </w:rPr>
      </w:pPr>
      <w:r w:rsidRPr="00580730">
        <w:rPr>
          <w:rFonts w:ascii="Times New Roman" w:hAnsi="Times New Roman" w:cs="Times New Roman"/>
          <w:b/>
          <w:bCs/>
        </w:rPr>
        <w:t>PÇ</w:t>
      </w:r>
      <w:r>
        <w:rPr>
          <w:rFonts w:ascii="Times New Roman" w:hAnsi="Times New Roman" w:cs="Times New Roman"/>
          <w:b/>
          <w:bCs/>
        </w:rPr>
        <w:t>7</w:t>
      </w:r>
      <w:r w:rsidRPr="00580730">
        <w:rPr>
          <w:rFonts w:ascii="Times New Roman" w:hAnsi="Times New Roman" w:cs="Times New Roman"/>
          <w:b/>
          <w:bCs/>
        </w:rPr>
        <w:t>:</w:t>
      </w:r>
      <w:r w:rsidRPr="00580730">
        <w:rPr>
          <w:rFonts w:ascii="Times New Roman" w:hAnsi="Times New Roman" w:cs="Times New Roman"/>
        </w:rPr>
        <w:t xml:space="preserve"> </w:t>
      </w:r>
      <w:r>
        <w:rPr>
          <w:rFonts w:ascii="Times New Roman" w:hAnsi="Times New Roman" w:cs="Times New Roman"/>
        </w:rPr>
        <w:t>Etkili iletişim, mülakat planı ve uygulama</w:t>
      </w:r>
    </w:p>
    <w:p w14:paraId="7C6DD50C" w14:textId="76367B3E" w:rsidR="00580730" w:rsidRPr="00580730" w:rsidRDefault="00580730" w:rsidP="00580730">
      <w:pPr>
        <w:numPr>
          <w:ilvl w:val="0"/>
          <w:numId w:val="5"/>
        </w:numPr>
        <w:rPr>
          <w:rFonts w:ascii="Times New Roman" w:hAnsi="Times New Roman" w:cs="Times New Roman"/>
        </w:rPr>
      </w:pPr>
      <w:r w:rsidRPr="00580730">
        <w:rPr>
          <w:rFonts w:ascii="Times New Roman" w:hAnsi="Times New Roman" w:cs="Times New Roman"/>
          <w:b/>
          <w:bCs/>
        </w:rPr>
        <w:t>PÇ</w:t>
      </w:r>
      <w:r>
        <w:rPr>
          <w:rFonts w:ascii="Times New Roman" w:hAnsi="Times New Roman" w:cs="Times New Roman"/>
          <w:b/>
          <w:bCs/>
        </w:rPr>
        <w:t>12</w:t>
      </w:r>
      <w:r w:rsidRPr="00580730">
        <w:rPr>
          <w:rFonts w:ascii="Times New Roman" w:hAnsi="Times New Roman" w:cs="Times New Roman"/>
          <w:b/>
          <w:bCs/>
        </w:rPr>
        <w:t>:</w:t>
      </w:r>
      <w:r w:rsidRPr="00580730">
        <w:rPr>
          <w:rFonts w:ascii="Times New Roman" w:hAnsi="Times New Roman" w:cs="Times New Roman"/>
        </w:rPr>
        <w:t xml:space="preserve"> </w:t>
      </w:r>
      <w:r>
        <w:rPr>
          <w:rFonts w:ascii="Times New Roman" w:hAnsi="Times New Roman" w:cs="Times New Roman"/>
        </w:rPr>
        <w:t>Yeni model geliştirme ve uygulama</w:t>
      </w:r>
    </w:p>
    <w:p w14:paraId="1C932552" w14:textId="77777777" w:rsidR="00580730" w:rsidRDefault="00580730" w:rsidP="00580730">
      <w:pPr>
        <w:jc w:val="both"/>
        <w:rPr>
          <w:rFonts w:ascii="Times New Roman" w:hAnsi="Times New Roman" w:cs="Times New Roman"/>
        </w:rPr>
      </w:pPr>
      <w:r w:rsidRPr="00580730">
        <w:rPr>
          <w:rFonts w:ascii="Times New Roman" w:hAnsi="Times New Roman" w:cs="Times New Roman"/>
        </w:rPr>
        <w:t xml:space="preserve">Bölüm ölçme kriterlerine göre başarı eşiği </w:t>
      </w:r>
      <w:r w:rsidRPr="00580730">
        <w:rPr>
          <w:rFonts w:ascii="Times New Roman" w:hAnsi="Times New Roman" w:cs="Times New Roman"/>
          <w:b/>
          <w:bCs/>
        </w:rPr>
        <w:t>%70</w:t>
      </w:r>
      <w:r w:rsidRPr="00580730">
        <w:rPr>
          <w:rFonts w:ascii="Times New Roman" w:hAnsi="Times New Roman" w:cs="Times New Roman"/>
        </w:rPr>
        <w:t xml:space="preserve"> olarak belirlenmiştir. Öğrenme çıktıları doğrudan ölçme araçları (rubrik temelli vaka analizi, müdahale planı, etik senaryo sorusu ve rapor değerlendirme formu) ile ölçülmüştür.</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87"/>
        <w:gridCol w:w="3417"/>
        <w:gridCol w:w="1791"/>
        <w:gridCol w:w="1105"/>
        <w:gridCol w:w="1072"/>
      </w:tblGrid>
      <w:tr w:rsidR="00580730" w:rsidRPr="00580730" w14:paraId="4B012CF9" w14:textId="77777777" w:rsidTr="00580730">
        <w:trPr>
          <w:tblHeader/>
          <w:tblCellSpacing w:w="15" w:type="dxa"/>
        </w:trPr>
        <w:tc>
          <w:tcPr>
            <w:tcW w:w="0" w:type="auto"/>
            <w:vAlign w:val="center"/>
            <w:hideMark/>
          </w:tcPr>
          <w:p w14:paraId="078E12B9" w14:textId="77777777" w:rsidR="00580730" w:rsidRPr="00580730" w:rsidRDefault="00580730" w:rsidP="00580730">
            <w:pPr>
              <w:jc w:val="both"/>
              <w:rPr>
                <w:rFonts w:ascii="Times New Roman" w:hAnsi="Times New Roman" w:cs="Times New Roman"/>
                <w:b/>
                <w:bCs/>
              </w:rPr>
            </w:pPr>
            <w:r w:rsidRPr="00580730">
              <w:rPr>
                <w:rFonts w:ascii="Times New Roman" w:hAnsi="Times New Roman" w:cs="Times New Roman"/>
                <w:b/>
                <w:bCs/>
              </w:rPr>
              <w:lastRenderedPageBreak/>
              <w:t>Program Çıktısı</w:t>
            </w:r>
          </w:p>
        </w:tc>
        <w:tc>
          <w:tcPr>
            <w:tcW w:w="0" w:type="auto"/>
            <w:vAlign w:val="center"/>
            <w:hideMark/>
          </w:tcPr>
          <w:p w14:paraId="7070F4F5" w14:textId="77777777" w:rsidR="00580730" w:rsidRPr="00580730" w:rsidRDefault="00580730" w:rsidP="00580730">
            <w:pPr>
              <w:jc w:val="both"/>
              <w:rPr>
                <w:rFonts w:ascii="Times New Roman" w:hAnsi="Times New Roman" w:cs="Times New Roman"/>
                <w:b/>
                <w:bCs/>
              </w:rPr>
            </w:pPr>
            <w:r w:rsidRPr="00580730">
              <w:rPr>
                <w:rFonts w:ascii="Times New Roman" w:hAnsi="Times New Roman" w:cs="Times New Roman"/>
                <w:b/>
                <w:bCs/>
              </w:rPr>
              <w:t>Ölçme Aracı</w:t>
            </w:r>
          </w:p>
        </w:tc>
        <w:tc>
          <w:tcPr>
            <w:tcW w:w="0" w:type="auto"/>
            <w:vAlign w:val="center"/>
            <w:hideMark/>
          </w:tcPr>
          <w:p w14:paraId="38724C39" w14:textId="77777777" w:rsidR="00580730" w:rsidRPr="00580730" w:rsidRDefault="00580730" w:rsidP="00580730">
            <w:pPr>
              <w:jc w:val="both"/>
              <w:rPr>
                <w:rFonts w:ascii="Times New Roman" w:hAnsi="Times New Roman" w:cs="Times New Roman"/>
                <w:b/>
                <w:bCs/>
              </w:rPr>
            </w:pPr>
            <w:r w:rsidRPr="00580730">
              <w:rPr>
                <w:rFonts w:ascii="Times New Roman" w:hAnsi="Times New Roman" w:cs="Times New Roman"/>
                <w:b/>
                <w:bCs/>
              </w:rPr>
              <w:t>Başarı Oranı (%)</w:t>
            </w:r>
          </w:p>
        </w:tc>
        <w:tc>
          <w:tcPr>
            <w:tcW w:w="0" w:type="auto"/>
            <w:vAlign w:val="center"/>
            <w:hideMark/>
          </w:tcPr>
          <w:p w14:paraId="13E2EBDE" w14:textId="77777777" w:rsidR="00580730" w:rsidRPr="00580730" w:rsidRDefault="00580730" w:rsidP="00580730">
            <w:pPr>
              <w:jc w:val="both"/>
              <w:rPr>
                <w:rFonts w:ascii="Times New Roman" w:hAnsi="Times New Roman" w:cs="Times New Roman"/>
                <w:b/>
                <w:bCs/>
              </w:rPr>
            </w:pPr>
            <w:r w:rsidRPr="00580730">
              <w:rPr>
                <w:rFonts w:ascii="Times New Roman" w:hAnsi="Times New Roman" w:cs="Times New Roman"/>
                <w:b/>
                <w:bCs/>
              </w:rPr>
              <w:t>Hedef (%)</w:t>
            </w:r>
          </w:p>
        </w:tc>
        <w:tc>
          <w:tcPr>
            <w:tcW w:w="0" w:type="auto"/>
            <w:vAlign w:val="center"/>
            <w:hideMark/>
          </w:tcPr>
          <w:p w14:paraId="037F703B" w14:textId="77777777" w:rsidR="00580730" w:rsidRPr="00580730" w:rsidRDefault="00580730" w:rsidP="00580730">
            <w:pPr>
              <w:jc w:val="both"/>
              <w:rPr>
                <w:rFonts w:ascii="Times New Roman" w:hAnsi="Times New Roman" w:cs="Times New Roman"/>
                <w:b/>
                <w:bCs/>
              </w:rPr>
            </w:pPr>
            <w:r w:rsidRPr="00580730">
              <w:rPr>
                <w:rFonts w:ascii="Times New Roman" w:hAnsi="Times New Roman" w:cs="Times New Roman"/>
                <w:b/>
                <w:bCs/>
              </w:rPr>
              <w:t>Sonuç</w:t>
            </w:r>
          </w:p>
        </w:tc>
      </w:tr>
      <w:tr w:rsidR="00580730" w:rsidRPr="00580730" w14:paraId="58C87C45" w14:textId="77777777" w:rsidTr="00580730">
        <w:trPr>
          <w:tblCellSpacing w:w="15" w:type="dxa"/>
        </w:trPr>
        <w:tc>
          <w:tcPr>
            <w:tcW w:w="0" w:type="auto"/>
            <w:vAlign w:val="center"/>
            <w:hideMark/>
          </w:tcPr>
          <w:p w14:paraId="07272660"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PÇ2</w:t>
            </w:r>
          </w:p>
        </w:tc>
        <w:tc>
          <w:tcPr>
            <w:tcW w:w="0" w:type="auto"/>
            <w:vAlign w:val="center"/>
            <w:hideMark/>
          </w:tcPr>
          <w:p w14:paraId="03F7E328"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Vaka analiz ödevi</w:t>
            </w:r>
          </w:p>
        </w:tc>
        <w:tc>
          <w:tcPr>
            <w:tcW w:w="0" w:type="auto"/>
            <w:vAlign w:val="center"/>
            <w:hideMark/>
          </w:tcPr>
          <w:p w14:paraId="57D2246F"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%72</w:t>
            </w:r>
          </w:p>
        </w:tc>
        <w:tc>
          <w:tcPr>
            <w:tcW w:w="0" w:type="auto"/>
            <w:vAlign w:val="center"/>
            <w:hideMark/>
          </w:tcPr>
          <w:p w14:paraId="33CCAB4A"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%70</w:t>
            </w:r>
          </w:p>
        </w:tc>
        <w:tc>
          <w:tcPr>
            <w:tcW w:w="0" w:type="auto"/>
            <w:vAlign w:val="center"/>
            <w:hideMark/>
          </w:tcPr>
          <w:p w14:paraId="4DD3FE1D"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Sağlandı</w:t>
            </w:r>
          </w:p>
        </w:tc>
      </w:tr>
      <w:tr w:rsidR="00580730" w:rsidRPr="00580730" w14:paraId="434BD1A7" w14:textId="77777777" w:rsidTr="00580730">
        <w:trPr>
          <w:tblCellSpacing w:w="15" w:type="dxa"/>
        </w:trPr>
        <w:tc>
          <w:tcPr>
            <w:tcW w:w="0" w:type="auto"/>
            <w:vAlign w:val="center"/>
            <w:hideMark/>
          </w:tcPr>
          <w:p w14:paraId="1E5445D3" w14:textId="23FBFF3D" w:rsidR="00580730" w:rsidRPr="00580730" w:rsidRDefault="00580730" w:rsidP="00580730">
            <w:pPr>
              <w:jc w:val="both"/>
              <w:rPr>
                <w:rFonts w:ascii="Times New Roman" w:hAnsi="Times New Roman" w:cs="Times New Roman"/>
              </w:rPr>
            </w:pPr>
            <w:r w:rsidRPr="00580730">
              <w:rPr>
                <w:rFonts w:ascii="Times New Roman" w:hAnsi="Times New Roman" w:cs="Times New Roman"/>
              </w:rPr>
              <w:t>PÇ</w:t>
            </w:r>
            <w:r>
              <w:rPr>
                <w:rFonts w:ascii="Times New Roman" w:hAnsi="Times New Roman" w:cs="Times New Roman"/>
              </w:rPr>
              <w:t>4</w:t>
            </w:r>
          </w:p>
        </w:tc>
        <w:tc>
          <w:tcPr>
            <w:tcW w:w="0" w:type="auto"/>
            <w:vAlign w:val="center"/>
            <w:hideMark/>
          </w:tcPr>
          <w:p w14:paraId="22077291"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Müdahale planı hazırlama</w:t>
            </w:r>
          </w:p>
        </w:tc>
        <w:tc>
          <w:tcPr>
            <w:tcW w:w="0" w:type="auto"/>
            <w:vAlign w:val="center"/>
            <w:hideMark/>
          </w:tcPr>
          <w:p w14:paraId="12C2E006"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%68</w:t>
            </w:r>
          </w:p>
        </w:tc>
        <w:tc>
          <w:tcPr>
            <w:tcW w:w="0" w:type="auto"/>
            <w:vAlign w:val="center"/>
            <w:hideMark/>
          </w:tcPr>
          <w:p w14:paraId="5918F442"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%70</w:t>
            </w:r>
          </w:p>
        </w:tc>
        <w:tc>
          <w:tcPr>
            <w:tcW w:w="0" w:type="auto"/>
            <w:vAlign w:val="center"/>
            <w:hideMark/>
          </w:tcPr>
          <w:p w14:paraId="2D5F7D04"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Hedef Altı</w:t>
            </w:r>
          </w:p>
        </w:tc>
      </w:tr>
      <w:tr w:rsidR="00580730" w:rsidRPr="00580730" w14:paraId="52ACE5A3" w14:textId="77777777" w:rsidTr="00580730">
        <w:trPr>
          <w:tblCellSpacing w:w="15" w:type="dxa"/>
        </w:trPr>
        <w:tc>
          <w:tcPr>
            <w:tcW w:w="0" w:type="auto"/>
            <w:vAlign w:val="center"/>
            <w:hideMark/>
          </w:tcPr>
          <w:p w14:paraId="4EB6CD48" w14:textId="4138A18E" w:rsidR="00580730" w:rsidRPr="00580730" w:rsidRDefault="00580730" w:rsidP="00580730">
            <w:pPr>
              <w:jc w:val="both"/>
              <w:rPr>
                <w:rFonts w:ascii="Times New Roman" w:hAnsi="Times New Roman" w:cs="Times New Roman"/>
              </w:rPr>
            </w:pPr>
            <w:r w:rsidRPr="00580730">
              <w:rPr>
                <w:rFonts w:ascii="Times New Roman" w:hAnsi="Times New Roman" w:cs="Times New Roman"/>
              </w:rPr>
              <w:t>PÇ</w:t>
            </w:r>
            <w:r>
              <w:rPr>
                <w:rFonts w:ascii="Times New Roman" w:hAnsi="Times New Roman" w:cs="Times New Roman"/>
              </w:rPr>
              <w:t>5</w:t>
            </w:r>
          </w:p>
        </w:tc>
        <w:tc>
          <w:tcPr>
            <w:tcW w:w="0" w:type="auto"/>
            <w:vAlign w:val="center"/>
            <w:hideMark/>
          </w:tcPr>
          <w:p w14:paraId="55EE2649" w14:textId="43B0A362" w:rsidR="00580730" w:rsidRPr="00580730" w:rsidRDefault="002F14BB" w:rsidP="00580730">
            <w:pPr>
              <w:jc w:val="both"/>
              <w:rPr>
                <w:rFonts w:ascii="Times New Roman" w:hAnsi="Times New Roman" w:cs="Times New Roman"/>
              </w:rPr>
            </w:pPr>
            <w:r>
              <w:rPr>
                <w:rFonts w:ascii="Times New Roman" w:hAnsi="Times New Roman" w:cs="Times New Roman"/>
              </w:rPr>
              <w:t>Sosyal hizmet alanında veri toplama</w:t>
            </w:r>
          </w:p>
        </w:tc>
        <w:tc>
          <w:tcPr>
            <w:tcW w:w="0" w:type="auto"/>
            <w:vAlign w:val="center"/>
            <w:hideMark/>
          </w:tcPr>
          <w:p w14:paraId="2C3FA446"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%61</w:t>
            </w:r>
          </w:p>
        </w:tc>
        <w:tc>
          <w:tcPr>
            <w:tcW w:w="0" w:type="auto"/>
            <w:vAlign w:val="center"/>
            <w:hideMark/>
          </w:tcPr>
          <w:p w14:paraId="208DDE88"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%70</w:t>
            </w:r>
          </w:p>
        </w:tc>
        <w:tc>
          <w:tcPr>
            <w:tcW w:w="0" w:type="auto"/>
            <w:vAlign w:val="center"/>
            <w:hideMark/>
          </w:tcPr>
          <w:p w14:paraId="7D9EDDB8"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Hedef Altı</w:t>
            </w:r>
          </w:p>
        </w:tc>
      </w:tr>
      <w:tr w:rsidR="00580730" w:rsidRPr="00580730" w14:paraId="6680B318" w14:textId="77777777" w:rsidTr="00580730">
        <w:trPr>
          <w:tblCellSpacing w:w="15" w:type="dxa"/>
        </w:trPr>
        <w:tc>
          <w:tcPr>
            <w:tcW w:w="0" w:type="auto"/>
            <w:vAlign w:val="center"/>
            <w:hideMark/>
          </w:tcPr>
          <w:p w14:paraId="4DF2798D" w14:textId="28D9A2FF" w:rsidR="00580730" w:rsidRPr="00580730" w:rsidRDefault="00580730" w:rsidP="00580730">
            <w:pPr>
              <w:jc w:val="both"/>
              <w:rPr>
                <w:rFonts w:ascii="Times New Roman" w:hAnsi="Times New Roman" w:cs="Times New Roman"/>
              </w:rPr>
            </w:pPr>
            <w:r w:rsidRPr="00580730">
              <w:rPr>
                <w:rFonts w:ascii="Times New Roman" w:hAnsi="Times New Roman" w:cs="Times New Roman"/>
              </w:rPr>
              <w:t>PÇ</w:t>
            </w:r>
            <w:r>
              <w:rPr>
                <w:rFonts w:ascii="Times New Roman" w:hAnsi="Times New Roman" w:cs="Times New Roman"/>
              </w:rPr>
              <w:t>7</w:t>
            </w:r>
          </w:p>
        </w:tc>
        <w:tc>
          <w:tcPr>
            <w:tcW w:w="0" w:type="auto"/>
            <w:vAlign w:val="center"/>
            <w:hideMark/>
          </w:tcPr>
          <w:p w14:paraId="6A2E002B"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Güçlendirme analizi</w:t>
            </w:r>
          </w:p>
        </w:tc>
        <w:tc>
          <w:tcPr>
            <w:tcW w:w="0" w:type="auto"/>
            <w:vAlign w:val="center"/>
            <w:hideMark/>
          </w:tcPr>
          <w:p w14:paraId="01C96BAF"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%75</w:t>
            </w:r>
          </w:p>
        </w:tc>
        <w:tc>
          <w:tcPr>
            <w:tcW w:w="0" w:type="auto"/>
            <w:vAlign w:val="center"/>
            <w:hideMark/>
          </w:tcPr>
          <w:p w14:paraId="2734C7EE"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%70</w:t>
            </w:r>
          </w:p>
        </w:tc>
        <w:tc>
          <w:tcPr>
            <w:tcW w:w="0" w:type="auto"/>
            <w:vAlign w:val="center"/>
            <w:hideMark/>
          </w:tcPr>
          <w:p w14:paraId="2EE6C783"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Sağlandı</w:t>
            </w:r>
          </w:p>
        </w:tc>
      </w:tr>
      <w:tr w:rsidR="00580730" w:rsidRPr="00580730" w14:paraId="756EDB3A" w14:textId="77777777" w:rsidTr="00580730">
        <w:trPr>
          <w:tblCellSpacing w:w="15" w:type="dxa"/>
        </w:trPr>
        <w:tc>
          <w:tcPr>
            <w:tcW w:w="0" w:type="auto"/>
            <w:vAlign w:val="center"/>
            <w:hideMark/>
          </w:tcPr>
          <w:p w14:paraId="72639CFF" w14:textId="54A7F6F1" w:rsidR="00580730" w:rsidRPr="00580730" w:rsidRDefault="00580730" w:rsidP="00580730">
            <w:pPr>
              <w:jc w:val="both"/>
              <w:rPr>
                <w:rFonts w:ascii="Times New Roman" w:hAnsi="Times New Roman" w:cs="Times New Roman"/>
              </w:rPr>
            </w:pPr>
            <w:r w:rsidRPr="00580730">
              <w:rPr>
                <w:rFonts w:ascii="Times New Roman" w:hAnsi="Times New Roman" w:cs="Times New Roman"/>
              </w:rPr>
              <w:t>PÇ</w:t>
            </w:r>
            <w:r>
              <w:rPr>
                <w:rFonts w:ascii="Times New Roman" w:hAnsi="Times New Roman" w:cs="Times New Roman"/>
              </w:rPr>
              <w:t>12</w:t>
            </w:r>
          </w:p>
        </w:tc>
        <w:tc>
          <w:tcPr>
            <w:tcW w:w="0" w:type="auto"/>
            <w:vAlign w:val="center"/>
            <w:hideMark/>
          </w:tcPr>
          <w:p w14:paraId="728AD772"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Mesleki rapor yazımı</w:t>
            </w:r>
          </w:p>
        </w:tc>
        <w:tc>
          <w:tcPr>
            <w:tcW w:w="0" w:type="auto"/>
            <w:vAlign w:val="center"/>
            <w:hideMark/>
          </w:tcPr>
          <w:p w14:paraId="53783782"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%81</w:t>
            </w:r>
          </w:p>
        </w:tc>
        <w:tc>
          <w:tcPr>
            <w:tcW w:w="0" w:type="auto"/>
            <w:vAlign w:val="center"/>
            <w:hideMark/>
          </w:tcPr>
          <w:p w14:paraId="45F6633F"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%70</w:t>
            </w:r>
          </w:p>
        </w:tc>
        <w:tc>
          <w:tcPr>
            <w:tcW w:w="0" w:type="auto"/>
            <w:vAlign w:val="center"/>
            <w:hideMark/>
          </w:tcPr>
          <w:p w14:paraId="184A4CBE"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Sağlandı</w:t>
            </w:r>
          </w:p>
        </w:tc>
      </w:tr>
    </w:tbl>
    <w:p w14:paraId="0C60ADF3" w14:textId="6DE22DE8" w:rsidR="00580730" w:rsidRDefault="00580730" w:rsidP="00580730">
      <w:pPr>
        <w:jc w:val="both"/>
        <w:rPr>
          <w:rFonts w:ascii="Times New Roman" w:hAnsi="Times New Roman" w:cs="Times New Roman"/>
        </w:rPr>
      </w:pPr>
      <w:r w:rsidRPr="00580730">
        <w:rPr>
          <w:rFonts w:ascii="Times New Roman" w:hAnsi="Times New Roman" w:cs="Times New Roman"/>
        </w:rPr>
        <w:t xml:space="preserve">Genel öğrenme çıktısı kazanım ortalaması %62 olarak hesaplanmıştır. Bu oran bölüm tarafından belirlenen %70 başarı eşiğinin altında kalmıştır. Özellikle </w:t>
      </w:r>
      <w:r w:rsidRPr="00580730">
        <w:rPr>
          <w:rFonts w:ascii="Times New Roman" w:hAnsi="Times New Roman" w:cs="Times New Roman"/>
          <w:b/>
          <w:bCs/>
        </w:rPr>
        <w:t>PÇ</w:t>
      </w:r>
      <w:r>
        <w:rPr>
          <w:rFonts w:ascii="Times New Roman" w:hAnsi="Times New Roman" w:cs="Times New Roman"/>
          <w:b/>
          <w:bCs/>
        </w:rPr>
        <w:t>4</w:t>
      </w:r>
      <w:r w:rsidRPr="00580730">
        <w:rPr>
          <w:rFonts w:ascii="Times New Roman" w:hAnsi="Times New Roman" w:cs="Times New Roman"/>
          <w:b/>
          <w:bCs/>
        </w:rPr>
        <w:t xml:space="preserve"> (müdahale planlama)</w:t>
      </w:r>
      <w:r w:rsidRPr="00580730">
        <w:rPr>
          <w:rFonts w:ascii="Times New Roman" w:hAnsi="Times New Roman" w:cs="Times New Roman"/>
        </w:rPr>
        <w:t xml:space="preserve"> ve </w:t>
      </w:r>
      <w:r w:rsidRPr="00580730">
        <w:rPr>
          <w:rFonts w:ascii="Times New Roman" w:hAnsi="Times New Roman" w:cs="Times New Roman"/>
          <w:b/>
          <w:bCs/>
        </w:rPr>
        <w:t>PÇ</w:t>
      </w:r>
      <w:r>
        <w:rPr>
          <w:rFonts w:ascii="Times New Roman" w:hAnsi="Times New Roman" w:cs="Times New Roman"/>
          <w:b/>
          <w:bCs/>
        </w:rPr>
        <w:t>5</w:t>
      </w:r>
      <w:r w:rsidRPr="00580730">
        <w:rPr>
          <w:rFonts w:ascii="Times New Roman" w:hAnsi="Times New Roman" w:cs="Times New Roman"/>
          <w:b/>
          <w:bCs/>
        </w:rPr>
        <w:t xml:space="preserve"> (</w:t>
      </w:r>
      <w:r>
        <w:rPr>
          <w:rFonts w:ascii="Times New Roman" w:hAnsi="Times New Roman" w:cs="Times New Roman"/>
          <w:b/>
          <w:bCs/>
        </w:rPr>
        <w:t>veri toplama</w:t>
      </w:r>
      <w:r w:rsidRPr="00580730">
        <w:rPr>
          <w:rFonts w:ascii="Times New Roman" w:hAnsi="Times New Roman" w:cs="Times New Roman"/>
          <w:b/>
          <w:bCs/>
        </w:rPr>
        <w:t>)</w:t>
      </w:r>
      <w:r w:rsidRPr="00580730">
        <w:rPr>
          <w:rFonts w:ascii="Times New Roman" w:hAnsi="Times New Roman" w:cs="Times New Roman"/>
        </w:rPr>
        <w:t xml:space="preserve"> çıktılarında hedeflenen düzeyin altında kalındığı tespit edilmiştir.</w:t>
      </w:r>
    </w:p>
    <w:p w14:paraId="74690E4C" w14:textId="77777777" w:rsidR="00580730" w:rsidRPr="00580730" w:rsidRDefault="00580730" w:rsidP="00580730">
      <w:pPr>
        <w:jc w:val="both"/>
        <w:rPr>
          <w:rFonts w:ascii="Times New Roman" w:hAnsi="Times New Roman" w:cs="Times New Roman"/>
          <w:b/>
          <w:bCs/>
        </w:rPr>
      </w:pPr>
      <w:r w:rsidRPr="00580730">
        <w:rPr>
          <w:rFonts w:ascii="Times New Roman" w:hAnsi="Times New Roman" w:cs="Times New Roman"/>
          <w:b/>
          <w:bCs/>
        </w:rPr>
        <w:t>4. Sınav Analizi</w:t>
      </w:r>
    </w:p>
    <w:p w14:paraId="7D567E01" w14:textId="77777777" w:rsidR="00580730" w:rsidRPr="00580730" w:rsidRDefault="00580730" w:rsidP="00580730">
      <w:pPr>
        <w:jc w:val="both"/>
        <w:rPr>
          <w:rFonts w:ascii="Times New Roman" w:hAnsi="Times New Roman" w:cs="Times New Roman"/>
        </w:rPr>
      </w:pPr>
      <w:r w:rsidRPr="00580730">
        <w:rPr>
          <w:rFonts w:ascii="Times New Roman" w:hAnsi="Times New Roman" w:cs="Times New Roman"/>
        </w:rPr>
        <w:t>Final sınavına ilişkin istatistiksel veriler:</w:t>
      </w:r>
    </w:p>
    <w:p w14:paraId="7A2CEB10" w14:textId="0DCD4BBD" w:rsidR="00580730" w:rsidRPr="00580730" w:rsidRDefault="00580730" w:rsidP="00580730">
      <w:pPr>
        <w:numPr>
          <w:ilvl w:val="0"/>
          <w:numId w:val="6"/>
        </w:numPr>
        <w:jc w:val="both"/>
        <w:rPr>
          <w:rFonts w:ascii="Times New Roman" w:hAnsi="Times New Roman" w:cs="Times New Roman"/>
        </w:rPr>
      </w:pPr>
      <w:r w:rsidRPr="00580730">
        <w:rPr>
          <w:rFonts w:ascii="Times New Roman" w:hAnsi="Times New Roman" w:cs="Times New Roman"/>
        </w:rPr>
        <w:t xml:space="preserve">Sınav Ortalaması: </w:t>
      </w:r>
      <w:r w:rsidR="002F14BB">
        <w:rPr>
          <w:rFonts w:ascii="Times New Roman" w:hAnsi="Times New Roman" w:cs="Times New Roman"/>
        </w:rPr>
        <w:t>72,11</w:t>
      </w:r>
    </w:p>
    <w:p w14:paraId="2842CB03" w14:textId="524C6D3F" w:rsidR="00580730" w:rsidRPr="00580730" w:rsidRDefault="00580730" w:rsidP="00580730">
      <w:pPr>
        <w:numPr>
          <w:ilvl w:val="0"/>
          <w:numId w:val="6"/>
        </w:numPr>
        <w:jc w:val="both"/>
        <w:rPr>
          <w:rFonts w:ascii="Times New Roman" w:hAnsi="Times New Roman" w:cs="Times New Roman"/>
        </w:rPr>
      </w:pPr>
      <w:r w:rsidRPr="00580730">
        <w:rPr>
          <w:rFonts w:ascii="Times New Roman" w:hAnsi="Times New Roman" w:cs="Times New Roman"/>
        </w:rPr>
        <w:t xml:space="preserve">En Düşük Not: </w:t>
      </w:r>
      <w:r w:rsidR="002F14BB">
        <w:rPr>
          <w:rFonts w:ascii="Times New Roman" w:hAnsi="Times New Roman" w:cs="Times New Roman"/>
        </w:rPr>
        <w:t>25</w:t>
      </w:r>
    </w:p>
    <w:p w14:paraId="2572F1DB" w14:textId="0E69EC6E" w:rsidR="00580730" w:rsidRPr="00580730" w:rsidRDefault="00580730" w:rsidP="00580730">
      <w:pPr>
        <w:numPr>
          <w:ilvl w:val="0"/>
          <w:numId w:val="6"/>
        </w:numPr>
        <w:jc w:val="both"/>
        <w:rPr>
          <w:rFonts w:ascii="Times New Roman" w:hAnsi="Times New Roman" w:cs="Times New Roman"/>
        </w:rPr>
      </w:pPr>
      <w:r w:rsidRPr="00580730">
        <w:rPr>
          <w:rFonts w:ascii="Times New Roman" w:hAnsi="Times New Roman" w:cs="Times New Roman"/>
        </w:rPr>
        <w:t xml:space="preserve">En Yüksek Not: </w:t>
      </w:r>
      <w:r w:rsidR="002F14BB">
        <w:rPr>
          <w:rFonts w:ascii="Times New Roman" w:hAnsi="Times New Roman" w:cs="Times New Roman"/>
        </w:rPr>
        <w:t>98</w:t>
      </w:r>
    </w:p>
    <w:p w14:paraId="511FEF46" w14:textId="77777777" w:rsidR="002F14BB" w:rsidRPr="002F14BB" w:rsidRDefault="00580730" w:rsidP="002F14BB">
      <w:pPr>
        <w:numPr>
          <w:ilvl w:val="0"/>
          <w:numId w:val="6"/>
        </w:numPr>
        <w:jc w:val="both"/>
      </w:pPr>
      <w:r w:rsidRPr="00580730">
        <w:rPr>
          <w:rFonts w:ascii="Times New Roman" w:hAnsi="Times New Roman" w:cs="Times New Roman"/>
        </w:rPr>
        <w:t>Standart Sapma: 1</w:t>
      </w:r>
      <w:r w:rsidR="002F14BB">
        <w:rPr>
          <w:rFonts w:ascii="Times New Roman" w:hAnsi="Times New Roman" w:cs="Times New Roman"/>
        </w:rPr>
        <w:t>8,18</w:t>
      </w:r>
    </w:p>
    <w:p w14:paraId="75A947E6" w14:textId="77777777" w:rsidR="002F14BB" w:rsidRPr="002F14BB" w:rsidRDefault="002F14BB" w:rsidP="002F14BB">
      <w:pPr>
        <w:numPr>
          <w:ilvl w:val="0"/>
          <w:numId w:val="6"/>
        </w:numPr>
        <w:jc w:val="both"/>
        <w:rPr>
          <w:rFonts w:ascii="Times New Roman" w:hAnsi="Times New Roman" w:cs="Times New Roman"/>
          <w:b/>
          <w:bCs/>
        </w:rPr>
      </w:pPr>
      <w:r w:rsidRPr="002F14BB">
        <w:rPr>
          <w:rStyle w:val="Gl"/>
          <w:rFonts w:ascii="Times New Roman" w:eastAsiaTheme="majorEastAsia" w:hAnsi="Times New Roman" w:cs="Times New Roman"/>
          <w:b w:val="0"/>
          <w:bCs w:val="0"/>
        </w:rPr>
        <w:t>60 ve Üzeri Not Alan Öğrenci Sayısı:</w:t>
      </w:r>
      <w:r w:rsidRPr="002F14BB">
        <w:rPr>
          <w:rFonts w:ascii="Times New Roman" w:hAnsi="Times New Roman" w:cs="Times New Roman"/>
          <w:b/>
          <w:bCs/>
        </w:rPr>
        <w:t xml:space="preserve"> </w:t>
      </w:r>
      <w:r w:rsidRPr="002F14BB">
        <w:rPr>
          <w:rFonts w:ascii="Times New Roman" w:hAnsi="Times New Roman" w:cs="Times New Roman"/>
        </w:rPr>
        <w:t>38 kişi</w:t>
      </w:r>
    </w:p>
    <w:p w14:paraId="6EB38145" w14:textId="37774545" w:rsidR="002F14BB" w:rsidRPr="002F14BB" w:rsidRDefault="002F14BB" w:rsidP="002F14BB">
      <w:pPr>
        <w:numPr>
          <w:ilvl w:val="0"/>
          <w:numId w:val="6"/>
        </w:numPr>
        <w:jc w:val="both"/>
        <w:rPr>
          <w:rFonts w:ascii="Times New Roman" w:hAnsi="Times New Roman" w:cs="Times New Roman"/>
          <w:b/>
          <w:bCs/>
        </w:rPr>
      </w:pPr>
      <w:r w:rsidRPr="002F14BB">
        <w:rPr>
          <w:rStyle w:val="Gl"/>
          <w:rFonts w:ascii="Times New Roman" w:eastAsiaTheme="majorEastAsia" w:hAnsi="Times New Roman" w:cs="Times New Roman"/>
          <w:b w:val="0"/>
          <w:bCs w:val="0"/>
        </w:rPr>
        <w:t>Başarı Oranı (≥60):</w:t>
      </w:r>
      <w:r w:rsidRPr="002F14BB">
        <w:rPr>
          <w:rFonts w:ascii="Times New Roman" w:hAnsi="Times New Roman" w:cs="Times New Roman"/>
          <w:b/>
          <w:bCs/>
        </w:rPr>
        <w:t xml:space="preserve"> </w:t>
      </w:r>
      <w:r w:rsidRPr="002F14BB">
        <w:rPr>
          <w:rFonts w:ascii="Times New Roman" w:hAnsi="Times New Roman" w:cs="Times New Roman"/>
        </w:rPr>
        <w:t>%76</w:t>
      </w:r>
    </w:p>
    <w:p w14:paraId="777324E8" w14:textId="77777777" w:rsidR="002F14BB" w:rsidRDefault="002F14BB" w:rsidP="002F14BB">
      <w:pPr>
        <w:pStyle w:val="NormalWeb"/>
        <w:jc w:val="both"/>
      </w:pPr>
      <w:r>
        <w:t>Standart sapma değerinin (18,18) görece yüksek olması, öğrenciler arasında başarı düzeyinin homojen dağılmadığını ve performans farklılıklarının belirgin olduğunu göstermektedir. En düşük ve en yüksek not arasındaki farkın yüksek olması da bu dağılımı desteklemektedir.</w:t>
      </w:r>
    </w:p>
    <w:p w14:paraId="3B79FEF4" w14:textId="3DBA9890" w:rsidR="002F14BB" w:rsidRDefault="002F14BB" w:rsidP="002F14BB">
      <w:pPr>
        <w:pStyle w:val="NormalWeb"/>
        <w:jc w:val="both"/>
      </w:pPr>
      <w:r>
        <w:t>Sınav sonuçları bölüm tarafından belirlenen %70 başarı eşiği bağlamında değerlendirildiğinde, genel başarı oranı (%76) ders başarısının kabul edilebilir düzeyde olduğunu göstermektedir. Ancak soru bazlı analizde özellikle müdahale planı oluşturma ve etik karar verme becerilerini ölçen sorularda başarı oranının görece düşük olduğu tespit edilmiştir. Bu durum, PÇ</w:t>
      </w:r>
      <w:r>
        <w:t>4</w:t>
      </w:r>
      <w:r>
        <w:t xml:space="preserve"> ve PÇ</w:t>
      </w:r>
      <w:r>
        <w:t>5</w:t>
      </w:r>
      <w:r>
        <w:t xml:space="preserve"> çıktılarındaki hedef altı performans ile paralellik göstermektedir.</w:t>
      </w:r>
    </w:p>
    <w:p w14:paraId="6B280103" w14:textId="77777777" w:rsidR="002F14BB" w:rsidRPr="002F14BB" w:rsidRDefault="002F14BB" w:rsidP="002F14BB">
      <w:pPr>
        <w:pStyle w:val="NormalWeb"/>
        <w:jc w:val="both"/>
        <w:rPr>
          <w:b/>
          <w:bCs/>
        </w:rPr>
      </w:pPr>
      <w:r w:rsidRPr="002F14BB">
        <w:rPr>
          <w:b/>
          <w:bCs/>
        </w:rPr>
        <w:t>5. Tespit Edilen Güçlü Yönler</w:t>
      </w:r>
    </w:p>
    <w:p w14:paraId="78BBAEB9" w14:textId="77777777" w:rsidR="002F14BB" w:rsidRPr="002F14BB" w:rsidRDefault="002F14BB" w:rsidP="002F14BB">
      <w:pPr>
        <w:pStyle w:val="NormalWeb"/>
        <w:numPr>
          <w:ilvl w:val="0"/>
          <w:numId w:val="8"/>
        </w:numPr>
        <w:jc w:val="both"/>
      </w:pPr>
      <w:r w:rsidRPr="002F14BB">
        <w:t>Dersin işleniş yöntemi ve materyal yeterliliği öğrenci memnuniyeti açısından yüksek düzeydedir.</w:t>
      </w:r>
    </w:p>
    <w:p w14:paraId="532AD8EE" w14:textId="77777777" w:rsidR="002F14BB" w:rsidRPr="002F14BB" w:rsidRDefault="002F14BB" w:rsidP="002F14BB">
      <w:pPr>
        <w:pStyle w:val="NormalWeb"/>
        <w:numPr>
          <w:ilvl w:val="0"/>
          <w:numId w:val="8"/>
        </w:numPr>
        <w:jc w:val="both"/>
      </w:pPr>
      <w:r w:rsidRPr="002F14BB">
        <w:t>Uygulama temelli etkinlikler (canlandırma, vaka analizi) öğrenciler tarafından etkili bulunmuştur.</w:t>
      </w:r>
    </w:p>
    <w:p w14:paraId="4720D3FD" w14:textId="4ABFB7F8" w:rsidR="002F14BB" w:rsidRPr="002F14BB" w:rsidRDefault="002F14BB" w:rsidP="002F14BB">
      <w:pPr>
        <w:pStyle w:val="NormalWeb"/>
        <w:numPr>
          <w:ilvl w:val="0"/>
          <w:numId w:val="8"/>
        </w:numPr>
        <w:jc w:val="both"/>
      </w:pPr>
      <w:r w:rsidRPr="002F14BB">
        <w:lastRenderedPageBreak/>
        <w:t>Rapor yazımı ve güçlendirme yaklaşımına ilişkin kazanımlar hedef düzeyin üzerindedir.</w:t>
      </w:r>
    </w:p>
    <w:p w14:paraId="51715DB6" w14:textId="77777777" w:rsidR="002F14BB" w:rsidRPr="002F14BB" w:rsidRDefault="002F14BB" w:rsidP="002F14BB">
      <w:pPr>
        <w:pStyle w:val="NormalWeb"/>
        <w:jc w:val="both"/>
        <w:rPr>
          <w:b/>
          <w:bCs/>
        </w:rPr>
      </w:pPr>
      <w:r w:rsidRPr="002F14BB">
        <w:rPr>
          <w:b/>
          <w:bCs/>
        </w:rPr>
        <w:t>6. İyileştirmeye Açık Alanlar</w:t>
      </w:r>
    </w:p>
    <w:p w14:paraId="0524EFEE" w14:textId="6C3E56C8" w:rsidR="002F14BB" w:rsidRPr="002F14BB" w:rsidRDefault="002F14BB" w:rsidP="002F14BB">
      <w:pPr>
        <w:pStyle w:val="NormalWeb"/>
        <w:numPr>
          <w:ilvl w:val="0"/>
          <w:numId w:val="9"/>
        </w:numPr>
        <w:jc w:val="both"/>
      </w:pPr>
      <w:r w:rsidRPr="002F14BB">
        <w:t>Müdahale planı geliştirme becerisi (PÇ</w:t>
      </w:r>
      <w:r>
        <w:t>4</w:t>
      </w:r>
      <w:r w:rsidRPr="002F14BB">
        <w:t>) hedef düzeyin altında kalmıştır.</w:t>
      </w:r>
    </w:p>
    <w:p w14:paraId="751524A5" w14:textId="2F70A1C8" w:rsidR="002F14BB" w:rsidRPr="002F14BB" w:rsidRDefault="002F14BB" w:rsidP="002F14BB">
      <w:pPr>
        <w:pStyle w:val="NormalWeb"/>
        <w:numPr>
          <w:ilvl w:val="0"/>
          <w:numId w:val="9"/>
        </w:numPr>
        <w:jc w:val="both"/>
      </w:pPr>
      <w:r>
        <w:t>Sosyal hizmet alanında veri toplama ve raporlama</w:t>
      </w:r>
      <w:r w:rsidRPr="002F14BB">
        <w:t xml:space="preserve"> (PÇ</w:t>
      </w:r>
      <w:r>
        <w:t>5</w:t>
      </w:r>
      <w:r w:rsidRPr="002F14BB">
        <w:t>) yeterli düzeyde değildir.</w:t>
      </w:r>
    </w:p>
    <w:p w14:paraId="768D5364" w14:textId="6E3F0D55" w:rsidR="002F14BB" w:rsidRPr="002F14BB" w:rsidRDefault="002F14BB" w:rsidP="002F14BB">
      <w:pPr>
        <w:pStyle w:val="NormalWeb"/>
        <w:numPr>
          <w:ilvl w:val="0"/>
          <w:numId w:val="9"/>
        </w:numPr>
        <w:jc w:val="both"/>
      </w:pPr>
      <w:r w:rsidRPr="002F14BB">
        <w:t>Sınav sonrası geri bildirim sürecinin yapılandırılması gerekmektedir.</w:t>
      </w:r>
    </w:p>
    <w:p w14:paraId="26C50EC7" w14:textId="77777777" w:rsidR="002F14BB" w:rsidRPr="002F14BB" w:rsidRDefault="002F14BB" w:rsidP="002F14BB">
      <w:pPr>
        <w:pStyle w:val="NormalWeb"/>
        <w:jc w:val="both"/>
        <w:rPr>
          <w:b/>
          <w:bCs/>
        </w:rPr>
      </w:pPr>
      <w:r w:rsidRPr="002F14BB">
        <w:rPr>
          <w:b/>
          <w:bCs/>
        </w:rPr>
        <w:t>7. Planlanan İyileştirme Çalışmaları</w:t>
      </w:r>
    </w:p>
    <w:p w14:paraId="70D4AE0C" w14:textId="77777777" w:rsidR="002F14BB" w:rsidRPr="002F14BB" w:rsidRDefault="002F14BB" w:rsidP="002F14BB">
      <w:pPr>
        <w:pStyle w:val="NormalWeb"/>
        <w:jc w:val="both"/>
      </w:pPr>
      <w:r w:rsidRPr="002F14BB">
        <w:t>Yapılan analizler doğrultusunda aşağıdaki kararlar alınmıştır:</w:t>
      </w:r>
    </w:p>
    <w:p w14:paraId="2A2606AF" w14:textId="0A8FA920" w:rsidR="002F14BB" w:rsidRPr="002F14BB" w:rsidRDefault="002F14BB" w:rsidP="002F14BB">
      <w:pPr>
        <w:pStyle w:val="NormalWeb"/>
        <w:numPr>
          <w:ilvl w:val="0"/>
          <w:numId w:val="10"/>
        </w:numPr>
        <w:jc w:val="both"/>
      </w:pPr>
      <w:r w:rsidRPr="002F14BB">
        <w:t xml:space="preserve">2026–2027 Güz döneminde </w:t>
      </w:r>
      <w:r>
        <w:t xml:space="preserve">örnek müdahale planı paylaşımı </w:t>
      </w:r>
      <w:r w:rsidRPr="002F14BB">
        <w:t xml:space="preserve"> %30 artırılacaktır.</w:t>
      </w:r>
    </w:p>
    <w:p w14:paraId="0FDB3906" w14:textId="77777777" w:rsidR="002F14BB" w:rsidRPr="002F14BB" w:rsidRDefault="002F14BB" w:rsidP="002F14BB">
      <w:pPr>
        <w:pStyle w:val="NormalWeb"/>
        <w:numPr>
          <w:ilvl w:val="0"/>
          <w:numId w:val="10"/>
        </w:numPr>
        <w:jc w:val="both"/>
      </w:pPr>
      <w:r w:rsidRPr="002F14BB">
        <w:t>Ara sınav öncesinde müdahale planı hazırlamaya yönelik uygulama atölyesi düzenlenecektir.</w:t>
      </w:r>
    </w:p>
    <w:p w14:paraId="68275FA9" w14:textId="77777777" w:rsidR="002F14BB" w:rsidRPr="002F14BB" w:rsidRDefault="002F14BB" w:rsidP="002F14BB">
      <w:pPr>
        <w:pStyle w:val="NormalWeb"/>
        <w:numPr>
          <w:ilvl w:val="0"/>
          <w:numId w:val="10"/>
        </w:numPr>
        <w:jc w:val="both"/>
      </w:pPr>
      <w:r w:rsidRPr="002F14BB">
        <w:t>Sınav sonrası rubrik temelli geri bildirim oturumu yapılacaktır.</w:t>
      </w:r>
    </w:p>
    <w:p w14:paraId="498DD759" w14:textId="78459606" w:rsidR="002F14BB" w:rsidRPr="002F14BB" w:rsidRDefault="002F14BB" w:rsidP="002F14BB">
      <w:pPr>
        <w:pStyle w:val="NormalWeb"/>
        <w:numPr>
          <w:ilvl w:val="0"/>
          <w:numId w:val="10"/>
        </w:numPr>
        <w:jc w:val="both"/>
      </w:pPr>
      <w:r w:rsidRPr="002F14BB">
        <w:t>Uygulanan iyileştirmelerin etkisi bir sonraki akademik yıl sonunda PÇ</w:t>
      </w:r>
      <w:r>
        <w:t>4</w:t>
      </w:r>
      <w:r w:rsidRPr="002F14BB">
        <w:t xml:space="preserve"> ve PÇ</w:t>
      </w:r>
      <w:r>
        <w:t>5</w:t>
      </w:r>
      <w:r w:rsidRPr="002F14BB">
        <w:t xml:space="preserve"> başarı oranları üzerinden yeniden değerlendirilecektir.</w:t>
      </w:r>
    </w:p>
    <w:p w14:paraId="57A3C449" w14:textId="77777777" w:rsidR="002F14BB" w:rsidRDefault="002F14BB" w:rsidP="002F14BB">
      <w:pPr>
        <w:pStyle w:val="NormalWeb"/>
        <w:jc w:val="both"/>
      </w:pPr>
      <w:r w:rsidRPr="002F14BB">
        <w:rPr>
          <w:b/>
          <w:bCs/>
        </w:rPr>
        <w:t>Sorumlu:</w:t>
      </w:r>
      <w:r w:rsidRPr="002F14BB">
        <w:t xml:space="preserve"> </w:t>
      </w:r>
      <w:r>
        <w:t>Dr. Öğr. Üyesi Burak KÜSMEZ</w:t>
      </w:r>
    </w:p>
    <w:p w14:paraId="618B3BF5" w14:textId="2ADFCDD5" w:rsidR="002F14BB" w:rsidRPr="002F14BB" w:rsidRDefault="002F14BB" w:rsidP="002F14BB">
      <w:pPr>
        <w:pStyle w:val="NormalWeb"/>
        <w:jc w:val="both"/>
      </w:pPr>
      <w:r w:rsidRPr="002F14BB">
        <w:rPr>
          <w:b/>
          <w:bCs/>
        </w:rPr>
        <w:t>Başarı Göstergesi:</w:t>
      </w:r>
      <w:r w:rsidRPr="002F14BB">
        <w:t xml:space="preserve"> PÇ</w:t>
      </w:r>
      <w:r>
        <w:t>4</w:t>
      </w:r>
      <w:r w:rsidRPr="002F14BB">
        <w:t xml:space="preserve"> ve PÇ</w:t>
      </w:r>
      <w:r>
        <w:t>5</w:t>
      </w:r>
      <w:r w:rsidRPr="002F14BB">
        <w:t xml:space="preserve"> başarı oranının en az %70’e ulaşması</w:t>
      </w:r>
    </w:p>
    <w:p w14:paraId="42B0169E" w14:textId="77777777" w:rsidR="002F14BB" w:rsidRPr="002F14BB" w:rsidRDefault="002F14BB" w:rsidP="002F14BB">
      <w:pPr>
        <w:pStyle w:val="NormalWeb"/>
        <w:jc w:val="both"/>
        <w:rPr>
          <w:b/>
          <w:bCs/>
        </w:rPr>
      </w:pPr>
      <w:r w:rsidRPr="002F14BB">
        <w:rPr>
          <w:b/>
          <w:bCs/>
        </w:rPr>
        <w:t>8. PUKÖ Döngüsü</w:t>
      </w:r>
    </w:p>
    <w:p w14:paraId="78607A4B" w14:textId="77777777" w:rsidR="002F14BB" w:rsidRPr="002F14BB" w:rsidRDefault="002F14BB" w:rsidP="002F14BB">
      <w:pPr>
        <w:pStyle w:val="NormalWeb"/>
      </w:pPr>
      <w:r w:rsidRPr="002F14BB">
        <w:rPr>
          <w:b/>
          <w:bCs/>
        </w:rPr>
        <w:t>Planla:</w:t>
      </w:r>
      <w:r w:rsidRPr="002F14BB">
        <w:t xml:space="preserve"> Program çıktıları ve %70 başarı eşiği belirlenmiştir.</w:t>
      </w:r>
      <w:r w:rsidRPr="002F14BB">
        <w:br/>
      </w:r>
      <w:r w:rsidRPr="002F14BB">
        <w:rPr>
          <w:b/>
          <w:bCs/>
        </w:rPr>
        <w:t>Uygula:</w:t>
      </w:r>
      <w:r w:rsidRPr="002F14BB">
        <w:t xml:space="preserve"> Ders planı doğrultusunda ölçme araçları uygulanmıştır.</w:t>
      </w:r>
      <w:r w:rsidRPr="002F14BB">
        <w:br/>
      </w:r>
      <w:r w:rsidRPr="002F14BB">
        <w:rPr>
          <w:b/>
          <w:bCs/>
        </w:rPr>
        <w:t>Kontrol Et:</w:t>
      </w:r>
      <w:r w:rsidRPr="002F14BB">
        <w:t xml:space="preserve"> Rubrik ve sınav analizleri ile PÇ bazlı başarı oranları hesaplanmıştır.</w:t>
      </w:r>
      <w:r w:rsidRPr="002F14BB">
        <w:br/>
      </w:r>
      <w:r w:rsidRPr="002F14BB">
        <w:rPr>
          <w:b/>
          <w:bCs/>
        </w:rPr>
        <w:t>Önlem Al:</w:t>
      </w:r>
      <w:r w:rsidRPr="002F14BB">
        <w:t xml:space="preserve"> Hedef altında kalan çıktılar için somut iyileştirme kararları alınmıştır.</w:t>
      </w:r>
    </w:p>
    <w:p w14:paraId="284099B7" w14:textId="77777777" w:rsidR="002F14BB" w:rsidRPr="002F14BB" w:rsidRDefault="002F14BB" w:rsidP="002F14BB">
      <w:pPr>
        <w:pStyle w:val="NormalWeb"/>
        <w:jc w:val="both"/>
      </w:pPr>
      <w:r w:rsidRPr="002F14BB">
        <w:t>Bu döngü 2026–2027 eğitim öğretim yılı sonunda tekrar değerlendirilecektir.</w:t>
      </w:r>
    </w:p>
    <w:p w14:paraId="600BBD65" w14:textId="23A450E9" w:rsidR="00D85D49" w:rsidRPr="00D85D49" w:rsidRDefault="00D85D49" w:rsidP="00D85D49">
      <w:pPr>
        <w:rPr>
          <w:rFonts w:ascii="Times New Roman" w:hAnsi="Times New Roman" w:cs="Times New Roman"/>
        </w:rPr>
      </w:pPr>
      <w:r w:rsidRPr="00D85D49">
        <w:rPr>
          <w:rFonts w:ascii="Times New Roman" w:hAnsi="Times New Roman" w:cs="Times New Roman"/>
          <w:b/>
          <w:bCs/>
        </w:rPr>
        <w:t>Raporu Hazırlayan:</w:t>
      </w:r>
      <w:r w:rsidRPr="00D85D49">
        <w:rPr>
          <w:rFonts w:ascii="Times New Roman" w:hAnsi="Times New Roman" w:cs="Times New Roman"/>
        </w:rPr>
        <w:br/>
      </w:r>
      <w:r w:rsidR="004E4B00">
        <w:rPr>
          <w:rFonts w:ascii="Times New Roman" w:hAnsi="Times New Roman" w:cs="Times New Roman"/>
        </w:rPr>
        <w:t>Dr. Öğr. Üyesi Burak KÜSMEZ</w:t>
      </w:r>
      <w:r w:rsidRPr="00D85D49">
        <w:rPr>
          <w:rFonts w:ascii="Times New Roman" w:hAnsi="Times New Roman" w:cs="Times New Roman"/>
        </w:rPr>
        <w:br/>
      </w:r>
      <w:r w:rsidR="002F14BB">
        <w:rPr>
          <w:rFonts w:ascii="Times New Roman" w:hAnsi="Times New Roman" w:cs="Times New Roman"/>
        </w:rPr>
        <w:t>12</w:t>
      </w:r>
      <w:r w:rsidR="004E4B00">
        <w:rPr>
          <w:rFonts w:ascii="Times New Roman" w:hAnsi="Times New Roman" w:cs="Times New Roman"/>
        </w:rPr>
        <w:t>.02.2026</w:t>
      </w:r>
    </w:p>
    <w:p w14:paraId="514D4B79" w14:textId="77777777" w:rsidR="00D85D49" w:rsidRPr="00D85D49" w:rsidRDefault="00D85D49">
      <w:pPr>
        <w:rPr>
          <w:rFonts w:ascii="Times New Roman" w:hAnsi="Times New Roman" w:cs="Times New Roman"/>
        </w:rPr>
      </w:pPr>
    </w:p>
    <w:sectPr w:rsidR="00D85D49" w:rsidRPr="00D85D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872"/>
    <w:multiLevelType w:val="multilevel"/>
    <w:tmpl w:val="6E46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16096"/>
    <w:multiLevelType w:val="multilevel"/>
    <w:tmpl w:val="5EDA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13FF"/>
    <w:multiLevelType w:val="multilevel"/>
    <w:tmpl w:val="9B00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E48B6"/>
    <w:multiLevelType w:val="multilevel"/>
    <w:tmpl w:val="68F02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DE13A2"/>
    <w:multiLevelType w:val="multilevel"/>
    <w:tmpl w:val="9F3E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A278C"/>
    <w:multiLevelType w:val="multilevel"/>
    <w:tmpl w:val="B462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E7130"/>
    <w:multiLevelType w:val="multilevel"/>
    <w:tmpl w:val="F97E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31498"/>
    <w:multiLevelType w:val="multilevel"/>
    <w:tmpl w:val="7E9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F49AC"/>
    <w:multiLevelType w:val="multilevel"/>
    <w:tmpl w:val="064A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E36939"/>
    <w:multiLevelType w:val="multilevel"/>
    <w:tmpl w:val="DD9C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636484">
    <w:abstractNumId w:val="2"/>
  </w:num>
  <w:num w:numId="2" w16cid:durableId="2091073941">
    <w:abstractNumId w:val="1"/>
  </w:num>
  <w:num w:numId="3" w16cid:durableId="1681354377">
    <w:abstractNumId w:val="6"/>
  </w:num>
  <w:num w:numId="4" w16cid:durableId="291178150">
    <w:abstractNumId w:val="8"/>
  </w:num>
  <w:num w:numId="5" w16cid:durableId="466633013">
    <w:abstractNumId w:val="7"/>
  </w:num>
  <w:num w:numId="6" w16cid:durableId="332415450">
    <w:abstractNumId w:val="4"/>
  </w:num>
  <w:num w:numId="7" w16cid:durableId="921988281">
    <w:abstractNumId w:val="5"/>
  </w:num>
  <w:num w:numId="8" w16cid:durableId="1200050227">
    <w:abstractNumId w:val="9"/>
  </w:num>
  <w:num w:numId="9" w16cid:durableId="12077734">
    <w:abstractNumId w:val="0"/>
  </w:num>
  <w:num w:numId="10" w16cid:durableId="4553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49"/>
    <w:rsid w:val="000945FC"/>
    <w:rsid w:val="000A6B96"/>
    <w:rsid w:val="002F14BB"/>
    <w:rsid w:val="003367A3"/>
    <w:rsid w:val="003C4F78"/>
    <w:rsid w:val="004E4B00"/>
    <w:rsid w:val="00580730"/>
    <w:rsid w:val="005A54F0"/>
    <w:rsid w:val="007742C7"/>
    <w:rsid w:val="009074DE"/>
    <w:rsid w:val="00CA4709"/>
    <w:rsid w:val="00D85D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51EC"/>
  <w15:chartTrackingRefBased/>
  <w15:docId w15:val="{AB751C7A-3C8C-4A37-88EE-21090227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85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85D4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85D4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85D4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85D4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85D4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85D4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85D4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D4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85D4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85D4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85D4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85D4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85D4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85D4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85D4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85D49"/>
    <w:rPr>
      <w:rFonts w:eastAsiaTheme="majorEastAsia" w:cstheme="majorBidi"/>
      <w:color w:val="272727" w:themeColor="text1" w:themeTint="D8"/>
    </w:rPr>
  </w:style>
  <w:style w:type="paragraph" w:styleId="KonuBal">
    <w:name w:val="Title"/>
    <w:basedOn w:val="Normal"/>
    <w:next w:val="Normal"/>
    <w:link w:val="KonuBalChar"/>
    <w:uiPriority w:val="10"/>
    <w:qFormat/>
    <w:rsid w:val="00D85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D4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D4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D4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85D4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85D49"/>
    <w:rPr>
      <w:i/>
      <w:iCs/>
      <w:color w:val="404040" w:themeColor="text1" w:themeTint="BF"/>
    </w:rPr>
  </w:style>
  <w:style w:type="paragraph" w:styleId="ListeParagraf">
    <w:name w:val="List Paragraph"/>
    <w:basedOn w:val="Normal"/>
    <w:uiPriority w:val="34"/>
    <w:qFormat/>
    <w:rsid w:val="00D85D49"/>
    <w:pPr>
      <w:ind w:left="720"/>
      <w:contextualSpacing/>
    </w:pPr>
  </w:style>
  <w:style w:type="character" w:styleId="GlVurgulama">
    <w:name w:val="Intense Emphasis"/>
    <w:basedOn w:val="VarsaylanParagrafYazTipi"/>
    <w:uiPriority w:val="21"/>
    <w:qFormat/>
    <w:rsid w:val="00D85D49"/>
    <w:rPr>
      <w:i/>
      <w:iCs/>
      <w:color w:val="0F4761" w:themeColor="accent1" w:themeShade="BF"/>
    </w:rPr>
  </w:style>
  <w:style w:type="paragraph" w:styleId="GlAlnt">
    <w:name w:val="Intense Quote"/>
    <w:basedOn w:val="Normal"/>
    <w:next w:val="Normal"/>
    <w:link w:val="GlAlntChar"/>
    <w:uiPriority w:val="30"/>
    <w:qFormat/>
    <w:rsid w:val="00D85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85D49"/>
    <w:rPr>
      <w:i/>
      <w:iCs/>
      <w:color w:val="0F4761" w:themeColor="accent1" w:themeShade="BF"/>
    </w:rPr>
  </w:style>
  <w:style w:type="character" w:styleId="GlBavuru">
    <w:name w:val="Intense Reference"/>
    <w:basedOn w:val="VarsaylanParagrafYazTipi"/>
    <w:uiPriority w:val="32"/>
    <w:qFormat/>
    <w:rsid w:val="00D85D49"/>
    <w:rPr>
      <w:b/>
      <w:bCs/>
      <w:smallCaps/>
      <w:color w:val="0F4761" w:themeColor="accent1" w:themeShade="BF"/>
      <w:spacing w:val="5"/>
    </w:rPr>
  </w:style>
  <w:style w:type="paragraph" w:styleId="NormalWeb">
    <w:name w:val="Normal (Web)"/>
    <w:basedOn w:val="Normal"/>
    <w:uiPriority w:val="99"/>
    <w:unhideWhenUsed/>
    <w:rsid w:val="002F14BB"/>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2F14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660</Words>
  <Characters>3763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C</dc:creator>
  <cp:keywords/>
  <dc:description/>
  <cp:lastModifiedBy>Burak Küsmez</cp:lastModifiedBy>
  <cp:revision>4</cp:revision>
  <dcterms:created xsi:type="dcterms:W3CDTF">2026-02-05T19:21:00Z</dcterms:created>
  <dcterms:modified xsi:type="dcterms:W3CDTF">2026-02-12T10:44:00Z</dcterms:modified>
</cp:coreProperties>
</file>